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6</w:t>
      </w:r>
      <w:r>
        <w:rPr>
          <w:rFonts w:cs="Arial"/>
          <w:b/>
          <w:sz w:val="24"/>
          <w:szCs w:val="24"/>
        </w:rPr>
        <w:tab/>
      </w:r>
      <w:r>
        <w:rPr>
          <w:rFonts w:cs="Arial"/>
          <w:b/>
          <w:sz w:val="24"/>
          <w:szCs w:val="24"/>
        </w:rPr>
        <w:t>R3-</w:t>
      </w:r>
      <w:r>
        <w:rPr>
          <w:rFonts w:cs="Arial"/>
          <w:b/>
          <w:sz w:val="24"/>
          <w:szCs w:val="24"/>
          <w:lang w:eastAsia="zh-CN"/>
        </w:rPr>
        <w:t>24</w:t>
      </w:r>
      <w:r>
        <w:rPr>
          <w:rFonts w:hint="eastAsia" w:cs="Arial"/>
          <w:b/>
          <w:sz w:val="24"/>
          <w:szCs w:val="24"/>
          <w:lang w:eastAsia="zh-CN"/>
        </w:rPr>
        <w:t>7675</w:t>
      </w:r>
      <w:bookmarkStart w:id="2" w:name="_GoBack"/>
      <w:bookmarkEnd w:id="2"/>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Orlando</w:t>
      </w:r>
      <w:r>
        <w:rPr>
          <w:rFonts w:eastAsia="PMingLiU"/>
          <w:sz w:val="24"/>
          <w:szCs w:val="28"/>
          <w:lang w:eastAsia="zh-TW"/>
        </w:rPr>
        <w:t xml:space="preserve">, </w:t>
      </w:r>
      <w:r>
        <w:rPr>
          <w:rFonts w:hint="eastAsia" w:eastAsia="PMingLiU"/>
          <w:sz w:val="24"/>
          <w:szCs w:val="28"/>
          <w:lang w:eastAsia="zh-CN"/>
        </w:rPr>
        <w:t>USA, 18</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22</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Oct</w:t>
      </w:r>
      <w:r>
        <w:rPr>
          <w:rFonts w:eastAsia="PMingLiU"/>
          <w:sz w:val="24"/>
          <w:szCs w:val="28"/>
          <w:lang w:eastAsia="zh-TW"/>
        </w:rPr>
        <w:t xml:space="preserve"> 202</w:t>
      </w:r>
      <w:r>
        <w:rPr>
          <w:rFonts w:hint="eastAsia" w:eastAsia="PMingLiU"/>
          <w:sz w:val="24"/>
          <w:szCs w:val="28"/>
          <w:lang w:eastAsia="zh-CN"/>
        </w:rPr>
        <w:t>4</w:t>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w:t>
      </w:r>
      <w:r>
        <w:rPr>
          <w:rFonts w:ascii="Arial" w:hAnsi="Arial"/>
          <w:sz w:val="24"/>
          <w:lang w:val="en-US" w:eastAsia="zh-CN"/>
        </w:rPr>
        <w:t xml:space="preserve">Support </w:t>
      </w:r>
      <w:r>
        <w:rPr>
          <w:rFonts w:hint="eastAsia" w:ascii="Arial" w:hAnsi="Arial"/>
          <w:sz w:val="24"/>
          <w:lang w:val="en-US" w:eastAsia="zh-CN"/>
        </w:rPr>
        <w:t>of regenerative payload for NR NTN</w:t>
      </w:r>
    </w:p>
    <w:p>
      <w:pPr>
        <w:tabs>
          <w:tab w:val="left" w:pos="1985"/>
        </w:tabs>
        <w:rPr>
          <w:rStyle w:val="105"/>
          <w:rFonts w:hint="eastAsia"/>
        </w:rPr>
      </w:pPr>
      <w:r>
        <w:rPr>
          <w:rFonts w:ascii="Arial" w:hAnsi="Arial"/>
          <w:b/>
          <w:sz w:val="24"/>
          <w:lang w:val="en-US"/>
        </w:rPr>
        <w:t xml:space="preserve">Source: </w:t>
      </w:r>
      <w:r>
        <w:rPr>
          <w:rFonts w:ascii="Arial" w:hAnsi="Arial"/>
          <w:b/>
          <w:sz w:val="24"/>
          <w:lang w:val="en-US"/>
        </w:rPr>
        <w:tab/>
      </w:r>
      <w:r>
        <w:rPr>
          <w:rStyle w:val="105"/>
          <w:rFonts w:hint="eastAsia"/>
        </w:rPr>
        <w:t>CMCC</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14.3</w:t>
      </w:r>
    </w:p>
    <w:p>
      <w:pPr>
        <w:tabs>
          <w:tab w:val="left" w:pos="1985"/>
        </w:tabs>
        <w:ind w:left="1980" w:hanging="1980"/>
        <w:rPr>
          <w:rStyle w:val="105"/>
        </w:rPr>
      </w:pPr>
      <w:r>
        <w:rPr>
          <w:rFonts w:ascii="Arial" w:hAnsi="Arial"/>
          <w:b/>
          <w:sz w:val="24"/>
          <w:lang w:val="en-US"/>
        </w:rPr>
        <w:t>Document Type:</w:t>
      </w:r>
      <w:r>
        <w:rPr>
          <w:rFonts w:ascii="Arial" w:hAnsi="Arial"/>
          <w:sz w:val="24"/>
          <w:lang w:val="en-US"/>
        </w:rPr>
        <w:tab/>
      </w:r>
      <w:r>
        <w:rPr>
          <w:rFonts w:ascii="Arial" w:hAnsi="Arial"/>
          <w:sz w:val="24"/>
          <w:lang w:val="en-US"/>
        </w:rPr>
        <w:t>Discussion</w:t>
      </w:r>
    </w:p>
    <w:p>
      <w:pPr>
        <w:pStyle w:val="2"/>
        <w:numPr>
          <w:ilvl w:val="0"/>
          <w:numId w:val="8"/>
        </w:numPr>
        <w:rPr>
          <w:rFonts w:eastAsia="宋体"/>
          <w:lang w:val="en-US" w:eastAsia="zh-CN"/>
        </w:rPr>
      </w:pPr>
      <w:r>
        <w:rPr>
          <w:rFonts w:eastAsia="宋体"/>
          <w:lang w:val="en-US" w:eastAsia="zh-CN"/>
        </w:rPr>
        <w:t>Introduction</w:t>
      </w:r>
    </w:p>
    <w:p>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NR Phase 3</w:t>
      </w:r>
      <w:r>
        <w:rPr>
          <w:rFonts w:hint="eastAsia"/>
          <w:lang w:val="en-US" w:eastAsia="zh-CN"/>
        </w:rPr>
        <w:t xml:space="preserve"> has been approved in </w:t>
      </w:r>
      <w:r>
        <w:rPr>
          <w:lang w:val="en-US" w:eastAsia="zh-CN"/>
        </w:rPr>
        <w:t>RP-240775</w:t>
      </w:r>
      <w:r>
        <w:rPr>
          <w:rFonts w:hint="eastAsia"/>
          <w:lang w:val="en-US" w:eastAsia="zh-CN"/>
        </w:rPr>
        <w:t>.</w:t>
      </w:r>
      <w:bookmarkStart w:id="1" w:name="_Hlk153358806"/>
      <w:r>
        <w:rPr>
          <w:rFonts w:hint="eastAsia"/>
          <w:lang w:val="en-US" w:eastAsia="zh-CN"/>
        </w:rPr>
        <w:t xml:space="preserve"> One of the objectives is s</w:t>
      </w:r>
      <w:r>
        <w:rPr>
          <w:rFonts w:eastAsia="Malgun Gothic"/>
          <w:lang w:val="en-US" w:eastAsia="ko-KR"/>
        </w:rPr>
        <w:t>upport of regenerative payload [RAN3, RAN2, RAN4]</w:t>
      </w:r>
      <w:r>
        <w:rPr>
          <w:rFonts w:hint="eastAsia" w:eastAsia="Malgun Gothic"/>
          <w:lang w:val="en-US" w:eastAsia="zh-CN"/>
        </w:rPr>
        <w:t>:</w:t>
      </w:r>
    </w:p>
    <w:p>
      <w:pPr>
        <w:pStyle w:val="122"/>
        <w:widowControl w:val="0"/>
        <w:numPr>
          <w:ilvl w:val="0"/>
          <w:numId w:val="9"/>
        </w:numPr>
        <w:spacing w:after="0" w:line="276" w:lineRule="auto"/>
        <w:ind w:firstLineChars="0"/>
        <w:contextualSpacing/>
        <w:jc w:val="both"/>
      </w:pPr>
      <w:r>
        <w:t>Specify the support of gNB on board in TS 38.300</w:t>
      </w:r>
    </w:p>
    <w:p>
      <w:pPr>
        <w:pStyle w:val="122"/>
        <w:widowControl w:val="0"/>
        <w:numPr>
          <w:ilvl w:val="0"/>
          <w:numId w:val="9"/>
        </w:numPr>
        <w:spacing w:after="0" w:line="276" w:lineRule="auto"/>
        <w:ind w:firstLineChars="0"/>
        <w:contextualSpacing/>
        <w:jc w:val="both"/>
      </w:pPr>
      <w:r>
        <w:t>Specify, if needed, any necessary enhancements related to the intra and inter-gNB mobility, especially for Xn interface over feeder link or over ISL. [RAN3]</w:t>
      </w:r>
    </w:p>
    <w:p>
      <w:pPr>
        <w:pStyle w:val="122"/>
        <w:widowControl w:val="0"/>
        <w:numPr>
          <w:ilvl w:val="0"/>
          <w:numId w:val="9"/>
        </w:numPr>
        <w:spacing w:after="0" w:line="276" w:lineRule="auto"/>
        <w:ind w:firstLineChars="0"/>
        <w:contextualSpacing/>
        <w:jc w:val="both"/>
      </w:pPr>
      <w:r>
        <w:t>Note: if any additional necessary stage-3 specifications impact for e.g. NGAP is identified, RAN3 will handle it.</w:t>
      </w:r>
    </w:p>
    <w:p>
      <w:pPr>
        <w:pStyle w:val="122"/>
        <w:widowControl w:val="0"/>
        <w:spacing w:after="0" w:line="276" w:lineRule="auto"/>
        <w:ind w:left="720" w:firstLine="0" w:firstLineChars="0"/>
        <w:contextualSpacing/>
        <w:jc w:val="both"/>
      </w:pPr>
    </w:p>
    <w:bookmarkEnd w:id="1"/>
    <w:p>
      <w:pPr>
        <w:rPr>
          <w:lang w:eastAsia="zh-CN"/>
        </w:rPr>
      </w:pPr>
      <w:r>
        <w:rPr>
          <w:rFonts w:hint="eastAsia"/>
          <w:lang w:eastAsia="zh-CN"/>
        </w:rPr>
        <w:t>Based on it, in RAN3 #125 meeting, the following conclusions are captured:</w:t>
      </w:r>
    </w:p>
    <w:p>
      <w:pPr>
        <w:rPr>
          <w:rFonts w:ascii="Calibri" w:hAnsi="Calibri" w:cs="Calibri"/>
          <w:color w:val="000000"/>
          <w:sz w:val="18"/>
          <w:u w:val="single"/>
        </w:rPr>
      </w:pPr>
      <w:r>
        <w:rPr>
          <w:rFonts w:ascii="Calibri" w:hAnsi="Calibri" w:cs="Calibri"/>
          <w:color w:val="000000"/>
          <w:sz w:val="18"/>
          <w:u w:val="single"/>
        </w:rPr>
        <w:t>NG Interface management Issue:</w:t>
      </w:r>
    </w:p>
    <w:p>
      <w:pPr>
        <w:rPr>
          <w:rFonts w:ascii="Calibri" w:hAnsi="Calibri" w:eastAsia="MS Mincho" w:cs="Calibri"/>
          <w:b/>
          <w:bCs/>
          <w:color w:val="008000"/>
          <w:sz w:val="18"/>
        </w:rPr>
      </w:pPr>
      <w:r>
        <w:rPr>
          <w:rFonts w:ascii="Calibri" w:hAnsi="Calibri" w:eastAsia="MS Mincho" w:cs="Calibri"/>
          <w:b/>
          <w:bCs/>
          <w:color w:val="008000"/>
          <w:sz w:val="18"/>
        </w:rPr>
        <w:t>Option 2 NG Removal/Setup can be used for Regenerative Payload NG interface management.</w:t>
      </w:r>
    </w:p>
    <w:p>
      <w:pPr>
        <w:rPr>
          <w:rFonts w:ascii="Calibri" w:hAnsi="Calibri" w:cs="Calibri"/>
          <w:color w:val="000000"/>
          <w:sz w:val="18"/>
        </w:rPr>
      </w:pPr>
      <w:r>
        <w:rPr>
          <w:rFonts w:ascii="Calibri" w:hAnsi="Calibri" w:cs="Calibri"/>
          <w:color w:val="000000"/>
          <w:sz w:val="18"/>
        </w:rPr>
        <w:t>Further discussions on benefits to introduce Option 3 NG Suspend/Resume for NG interface management are not precluded but there are oppositions of some companie</w:t>
      </w:r>
      <w:r>
        <w:rPr>
          <w:rFonts w:hint="eastAsia" w:ascii="Calibri" w:hAnsi="Calibri" w:cs="Calibri"/>
          <w:color w:val="000000"/>
          <w:sz w:val="18"/>
          <w:lang w:eastAsia="zh-CN"/>
        </w:rPr>
        <w:t>s</w:t>
      </w:r>
      <w:r>
        <w:rPr>
          <w:rFonts w:ascii="Calibri" w:hAnsi="Calibri" w:cs="Calibri"/>
          <w:color w:val="000000"/>
          <w:sz w:val="18"/>
        </w:rPr>
        <w:t xml:space="preserve"> to have 2 methods for NG interface management.</w:t>
      </w:r>
    </w:p>
    <w:p>
      <w:pPr>
        <w:rPr>
          <w:rFonts w:ascii="Calibri" w:hAnsi="Calibri" w:cs="Calibri"/>
          <w:color w:val="000000"/>
          <w:sz w:val="18"/>
          <w:u w:val="single"/>
        </w:rPr>
      </w:pPr>
      <w:r>
        <w:rPr>
          <w:rFonts w:ascii="Calibri" w:hAnsi="Calibri" w:cs="Calibri"/>
          <w:color w:val="000000"/>
          <w:sz w:val="18"/>
          <w:u w:val="single"/>
        </w:rPr>
        <w:t>Inactive UE support</w:t>
      </w:r>
    </w:p>
    <w:p>
      <w:pPr>
        <w:rPr>
          <w:rFonts w:ascii="Calibri" w:hAnsi="Calibri" w:eastAsia="MS Mincho" w:cs="Calibri"/>
          <w:b/>
          <w:bCs/>
          <w:color w:val="008000"/>
          <w:sz w:val="18"/>
        </w:rPr>
      </w:pPr>
      <w:r>
        <w:rPr>
          <w:rFonts w:ascii="Calibri" w:hAnsi="Calibri" w:eastAsia="MS Mincho"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pPr>
        <w:rPr>
          <w:rFonts w:ascii="Calibri" w:hAnsi="Calibri" w:cs="Calibri"/>
          <w:color w:val="000000"/>
          <w:sz w:val="18"/>
          <w:u w:val="single"/>
        </w:rPr>
      </w:pPr>
      <w:r>
        <w:rPr>
          <w:rFonts w:ascii="Calibri" w:hAnsi="Calibri" w:cs="Calibri"/>
          <w:color w:val="000000"/>
          <w:sz w:val="18"/>
          <w:u w:val="single"/>
        </w:rPr>
        <w:t>Feeder link switch issue</w:t>
      </w:r>
    </w:p>
    <w:p>
      <w:pPr>
        <w:rPr>
          <w:rFonts w:ascii="Calibri" w:hAnsi="Calibri" w:eastAsia="MS Mincho" w:cs="Calibri"/>
          <w:b/>
          <w:bCs/>
          <w:color w:val="008000"/>
          <w:sz w:val="18"/>
          <w:lang w:eastAsia="zh-CN"/>
        </w:rPr>
      </w:pPr>
      <w:r>
        <w:rPr>
          <w:rFonts w:ascii="Calibri" w:hAnsi="Calibri" w:eastAsia="MS Mincho" w:cs="Calibri"/>
          <w:b/>
          <w:bCs/>
          <w:color w:val="008000"/>
          <w:sz w:val="18"/>
        </w:rPr>
        <w:t>RAN3 assumes that during the feeder link switch, AMF is not changed for the UEs. Whether there has any standard impact needs to be further checked.</w:t>
      </w:r>
    </w:p>
    <w:p>
      <w:pPr>
        <w:rPr>
          <w:rFonts w:hint="eastAsia"/>
          <w:lang w:eastAsia="zh-CN"/>
        </w:rPr>
      </w:pPr>
      <w:r>
        <w:rPr>
          <w:rFonts w:hint="eastAsia"/>
          <w:lang w:eastAsia="zh-CN"/>
        </w:rPr>
        <w:t>And During RAN3 #125-bis, the following have been captured in chairlady</w:t>
      </w:r>
      <w:r>
        <w:rPr>
          <w:lang w:eastAsia="zh-CN"/>
        </w:rPr>
        <w:t>’</w:t>
      </w:r>
      <w:r>
        <w:rPr>
          <w:rFonts w:hint="eastAsia"/>
          <w:lang w:eastAsia="zh-CN"/>
        </w:rPr>
        <w:t>s notes:</w:t>
      </w:r>
    </w:p>
    <w:p>
      <w:pPr>
        <w:rPr>
          <w:rFonts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T</w:t>
      </w:r>
      <w:r>
        <w:rPr>
          <w:rFonts w:ascii="Calibri" w:hAnsi="Calibri" w:eastAsia="MS Mincho" w:cs="Calibri"/>
          <w:i/>
          <w:iCs/>
          <w:color w:val="00B050"/>
          <w:kern w:val="2"/>
          <w:sz w:val="16"/>
          <w:szCs w:val="16"/>
        </w:rPr>
        <w:t xml:space="preserve">he supported TAIs </w:t>
      </w:r>
      <w:r>
        <w:rPr>
          <w:rFonts w:hint="eastAsia" w:ascii="Calibri" w:hAnsi="Calibri" w:eastAsia="MS Mincho" w:cs="Calibri"/>
          <w:i/>
          <w:iCs/>
          <w:color w:val="00B050"/>
          <w:kern w:val="2"/>
          <w:sz w:val="16"/>
          <w:szCs w:val="16"/>
        </w:rPr>
        <w:t xml:space="preserve">of an on-board gNB could be </w:t>
      </w:r>
      <w:r>
        <w:rPr>
          <w:rFonts w:ascii="Calibri" w:hAnsi="Calibri" w:eastAsia="MS Mincho" w:cs="Calibri"/>
          <w:i/>
          <w:iCs/>
          <w:color w:val="00B050"/>
          <w:kern w:val="2"/>
          <w:sz w:val="16"/>
          <w:szCs w:val="16"/>
        </w:rPr>
        <w:t xml:space="preserve">provided to AMF by </w:t>
      </w:r>
      <w:r>
        <w:rPr>
          <w:rFonts w:hint="eastAsia" w:ascii="Calibri" w:hAnsi="Calibri" w:eastAsia="MS Mincho" w:cs="Calibri"/>
          <w:i/>
          <w:iCs/>
          <w:color w:val="00B050"/>
          <w:kern w:val="2"/>
          <w:sz w:val="16"/>
          <w:szCs w:val="16"/>
        </w:rPr>
        <w:t>OAM/pre-configuration</w:t>
      </w:r>
      <w:r>
        <w:rPr>
          <w:rFonts w:ascii="Calibri" w:hAnsi="Calibri" w:eastAsia="MS Mincho" w:cs="Calibri"/>
          <w:i/>
          <w:iCs/>
          <w:color w:val="00B050"/>
          <w:kern w:val="2"/>
          <w:sz w:val="16"/>
          <w:szCs w:val="16"/>
        </w:rPr>
        <w:t>.</w:t>
      </w:r>
    </w:p>
    <w:p>
      <w:pPr>
        <w:pStyle w:val="152"/>
        <w:overflowPunct/>
        <w:autoSpaceDN/>
        <w:adjustRightInd/>
        <w:spacing w:after="120" w:afterLines="50"/>
        <w:ind w:left="0"/>
        <w:contextualSpacing w:val="0"/>
        <w:textAlignment w:val="auto"/>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rPr>
          <w:rFonts w:ascii="Calibri" w:hAnsi="Calibri" w:cs="Calibri"/>
          <w:b/>
          <w:color w:val="FF0000"/>
          <w:kern w:val="2"/>
          <w:sz w:val="16"/>
          <w:szCs w:val="16"/>
        </w:rPr>
      </w:pPr>
      <w:r>
        <w:rPr>
          <w:rFonts w:ascii="Calibri" w:hAnsi="Calibri" w:cs="Calibri"/>
          <w:b/>
          <w:color w:val="FF0000"/>
          <w:kern w:val="2"/>
          <w:sz w:val="16"/>
          <w:szCs w:val="16"/>
        </w:rPr>
        <w:t>Legacy NG HO procedure can be reused for inter AMF HO</w:t>
      </w:r>
      <w:r>
        <w:rPr>
          <w:rFonts w:hint="eastAsia" w:ascii="Calibri" w:hAnsi="Calibri" w:cs="Calibri"/>
          <w:b/>
          <w:color w:val="FF0000"/>
          <w:kern w:val="2"/>
          <w:sz w:val="16"/>
          <w:szCs w:val="16"/>
        </w:rPr>
        <w:t xml:space="preserve"> for NTN regenerative payload</w:t>
      </w:r>
      <w:r>
        <w:rPr>
          <w:rFonts w:ascii="Calibri" w:hAnsi="Calibri" w:cs="Calibri"/>
          <w:b/>
          <w:color w:val="FF0000"/>
          <w:kern w:val="2"/>
          <w:sz w:val="16"/>
          <w:szCs w:val="16"/>
        </w:rPr>
        <w:t>.</w:t>
      </w:r>
    </w:p>
    <w:p>
      <w:pPr>
        <w:rPr>
          <w:rFonts w:ascii="Calibri" w:hAnsi="Calibri" w:cs="Calibri"/>
          <w:b/>
          <w:color w:val="FF0000"/>
          <w:kern w:val="2"/>
          <w:sz w:val="16"/>
          <w:szCs w:val="16"/>
        </w:rPr>
      </w:pPr>
      <w:r>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pPr>
        <w:rPr>
          <w:rFonts w:hint="eastAsia"/>
          <w:lang w:eastAsia="zh-CN"/>
        </w:rPr>
      </w:pPr>
      <w:r>
        <w:rPr>
          <w:rFonts w:hint="eastAsia"/>
          <w:lang w:eastAsia="zh-CN"/>
        </w:rPr>
        <w:t xml:space="preserve">Also TP has been accepted to introduce NG Removal procedures in TS38.410 and TS38.413. </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rPr>
          <w:rFonts w:eastAsia="宋体"/>
          <w:lang w:eastAsia="zh-CN"/>
        </w:rPr>
      </w:pPr>
      <w:r>
        <w:rPr>
          <w:rFonts w:hint="eastAsia" w:eastAsia="宋体"/>
          <w:lang w:eastAsia="zh-CN"/>
        </w:rPr>
        <w:t xml:space="preserve">In RAN3 #125bis, it is proposed by some companies that </w:t>
      </w:r>
      <w:r>
        <w:rPr>
          <w:rFonts w:eastAsia="宋体"/>
          <w:lang w:eastAsia="zh-CN"/>
        </w:rPr>
        <w:t>RAN CONFIGURATION UPDATE procedure could be reused to support NG suspend/Resume, by introducing suspend/resume indicators to avoid frequent TNL disconnection and re-connection</w:t>
      </w:r>
      <w:r>
        <w:rPr>
          <w:rFonts w:hint="eastAsia" w:eastAsia="宋体"/>
          <w:lang w:eastAsia="zh-CN"/>
        </w:rPr>
        <w:t xml:space="preserve">. </w:t>
      </w:r>
    </w:p>
    <w:p>
      <w:pPr>
        <w:rPr>
          <w:rFonts w:hint="eastAsia" w:eastAsia="宋体"/>
          <w:lang w:eastAsia="zh-CN"/>
        </w:rPr>
      </w:pPr>
      <w:r>
        <w:rPr>
          <w:rFonts w:hint="eastAsia" w:eastAsia="宋体"/>
          <w:lang w:eastAsia="zh-CN"/>
        </w:rPr>
        <w:t xml:space="preserve">We think it is common sense that it is beneficial in RAN3 to introduce NG Suspend/Resume procedures. But how to introduce the procedures, reuse the current RAN CONFIGURATION UPDATE? </w:t>
      </w:r>
      <w:r>
        <w:rPr>
          <w:rFonts w:eastAsia="宋体"/>
          <w:lang w:eastAsia="zh-CN"/>
        </w:rPr>
        <w:t>O</w:t>
      </w:r>
      <w:r>
        <w:rPr>
          <w:rFonts w:hint="eastAsia" w:eastAsia="宋体"/>
          <w:lang w:eastAsia="zh-CN"/>
        </w:rPr>
        <w:t xml:space="preserve">r some other legacy procedures? Or new procedures? </w:t>
      </w:r>
      <w:r>
        <w:rPr>
          <w:rFonts w:eastAsia="宋体"/>
          <w:lang w:eastAsia="zh-CN"/>
        </w:rPr>
        <w:t>N</w:t>
      </w:r>
      <w:r>
        <w:rPr>
          <w:rFonts w:hint="eastAsia" w:eastAsia="宋体"/>
          <w:lang w:eastAsia="zh-CN"/>
        </w:rPr>
        <w:t xml:space="preserve">eed to be </w:t>
      </w:r>
      <w:r>
        <w:rPr>
          <w:rFonts w:eastAsia="宋体"/>
          <w:lang w:eastAsia="zh-CN"/>
        </w:rPr>
        <w:t>further</w:t>
      </w:r>
      <w:r>
        <w:rPr>
          <w:rFonts w:hint="eastAsia" w:eastAsia="宋体"/>
          <w:lang w:eastAsia="zh-CN"/>
        </w:rPr>
        <w:t xml:space="preserve"> discussed. So in this draft, we focus on discussing the enhancement on NG interfaces.</w:t>
      </w:r>
    </w:p>
    <w:p>
      <w:pPr>
        <w:pStyle w:val="5"/>
        <w:rPr>
          <w:rFonts w:eastAsiaTheme="minorEastAsia"/>
          <w:lang w:eastAsia="zh-CN"/>
        </w:rPr>
      </w:pPr>
      <w:r>
        <w:rPr>
          <w:rFonts w:hint="eastAsia" w:eastAsiaTheme="minorEastAsia"/>
          <w:lang w:eastAsia="zh-CN"/>
        </w:rPr>
        <w:t>2.1 NG Suspend/Resume Procedures Enhancement</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To recover the UE connections quickly, some companies suggest to introduce the NG Suspend and Resume Procedures.  When the satellite is moving out of the service area of AMF, it switches UEs over to the new gNB through Xn or through AMF. After UE Handover execution, the gNB can sends NG Suspend procedures to AMF and restore the UE context such as UE ID, PDU session ID and some others in the satellite (gNB on board), NG connections will be suspended. And when the satellite moves back to the previous AMF, it can quickly set up NG, RRC connections for the UE through NG Resume messages.</w:t>
      </w:r>
    </w:p>
    <w:p>
      <w:pPr>
        <w:rPr>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P</w:t>
      </w:r>
      <w:r>
        <w:rPr>
          <w:b/>
          <w:bCs/>
          <w:color w:val="000000" w:themeColor="text1"/>
          <w14:textFill>
            <w14:solidFill>
              <w14:schemeClr w14:val="tx1"/>
            </w14:solidFill>
          </w14:textFill>
        </w:rPr>
        <w:t xml:space="preserve">roposal </w:t>
      </w:r>
      <w:r>
        <w:rPr>
          <w:rFonts w:hint="eastAsia"/>
          <w:b/>
          <w:bCs/>
          <w:color w:val="000000" w:themeColor="text1"/>
          <w:lang w:eastAsia="zh-CN"/>
          <w14:textFill>
            <w14:solidFill>
              <w14:schemeClr w14:val="tx1"/>
            </w14:solidFill>
          </w14:textFill>
        </w:rPr>
        <w:t>1</w:t>
      </w:r>
      <w:r>
        <w:rPr>
          <w:b/>
          <w:bCs/>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 xml:space="preserve">It is beneficial to introduce NG Suspend/Resume procedures in some scenarios, to help the NG connection recover quickly.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The NG-RAN node ID, UE ID, PDU Session ID shall be carried in NG Resume message from NG-RAN node to AMF, to quickly recover the NG connection.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When AMF receive this NG Resume message, it shall check the UE ID and PDU session ID in its own UE context information, and know which PDU sessions are still active and shall be resumed.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 It is proposed to carry the NG-RAN node ID, UE ID, PDU Session ID in NG Resume message from NG-RAN node to AMF. Using these information, AMF can check with its own UE context information and know which PDU sessions shall be resumed.</w:t>
      </w:r>
    </w:p>
    <w:p>
      <w:pPr>
        <w:rPr>
          <w:b/>
          <w:bCs/>
          <w:color w:val="000000" w:themeColor="text1"/>
          <w14:textFill>
            <w14:solidFill>
              <w14:schemeClr w14:val="tx1"/>
            </w14:solidFill>
          </w14:textFill>
        </w:rPr>
      </w:pPr>
    </w:p>
    <w:p>
      <w:pPr>
        <w:rPr>
          <w:b/>
          <w:bCs/>
          <w:color w:val="000000" w:themeColor="text1"/>
          <w:lang w:val="en-US" w:eastAsia="zh-CN"/>
          <w14:textFill>
            <w14:solidFill>
              <w14:schemeClr w14:val="tx1"/>
            </w14:solidFill>
          </w14:textFill>
        </w:rPr>
      </w:pPr>
      <w:r>
        <w:rPr>
          <w:b/>
          <w:bCs/>
          <w:color w:val="000000" w:themeColor="text1"/>
          <w:lang w:val="en-US" w:eastAsia="zh-CN"/>
          <w14:textFill>
            <w14:solidFill>
              <w14:schemeClr w14:val="tx1"/>
            </w14:solidFill>
          </w14:textFill>
        </w:rPr>
        <w:drawing>
          <wp:inline distT="0" distB="0" distL="0" distR="0">
            <wp:extent cx="5878830" cy="2942590"/>
            <wp:effectExtent l="0" t="0" r="1270" b="3810"/>
            <wp:docPr id="73641587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15878" name="图片 8" descr="图示&#10;&#10;描述已自动生成"/>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24364" cy="2965560"/>
                    </a:xfrm>
                    <a:prstGeom prst="rect">
                      <a:avLst/>
                    </a:prstGeom>
                  </pic:spPr>
                </pic:pic>
              </a:graphicData>
            </a:graphic>
          </wp:inline>
        </w:drawing>
      </w:r>
    </w:p>
    <w:p>
      <w:pPr>
        <w:pStyle w:val="28"/>
        <w:jc w:val="both"/>
        <w:rPr>
          <w:rFonts w:eastAsiaTheme="minorEastAsia"/>
          <w:lang w:eastAsia="zh-CN"/>
        </w:rPr>
      </w:pPr>
      <w:r>
        <w:rPr>
          <w:rFonts w:hint="eastAsia" w:eastAsiaTheme="minorEastAsia"/>
          <w:lang w:eastAsia="zh-CN"/>
        </w:rPr>
        <w:t xml:space="preserve">Scenario 3: UE transfer from </w:t>
      </w:r>
      <w:r>
        <w:rPr>
          <w:rFonts w:hint="eastAsia" w:eastAsiaTheme="minorEastAsia"/>
          <w:lang w:val="en-US" w:eastAsia="zh-CN"/>
        </w:rPr>
        <w:t xml:space="preserve">Satellite1(gNB1 on board) to Satellite2(gNB2 on board) </w:t>
      </w:r>
      <w:r>
        <w:rPr>
          <w:rFonts w:hint="eastAsia" w:eastAsiaTheme="minorEastAsia"/>
          <w:lang w:eastAsia="zh-CN"/>
        </w:rPr>
        <w:t xml:space="preserve"> through Xn when it is leaving the AMF serving area, NG Suspend/Resume Procedures</w:t>
      </w:r>
    </w:p>
    <w:p>
      <w:pPr>
        <w:rPr>
          <w:b/>
          <w:bCs/>
          <w:color w:val="000000" w:themeColor="text1"/>
          <w:lang w:eastAsia="zh-CN"/>
          <w14:textFill>
            <w14:solidFill>
              <w14:schemeClr w14:val="tx1"/>
            </w14:solidFill>
          </w14:textFill>
        </w:rPr>
      </w:pPr>
      <w:r>
        <w:rPr>
          <w:b/>
          <w:bCs/>
          <w:color w:val="000000" w:themeColor="text1"/>
          <w:lang w:val="en-US" w:eastAsia="zh-CN"/>
          <w14:textFill>
            <w14:solidFill>
              <w14:schemeClr w14:val="tx1"/>
            </w14:solidFill>
          </w14:textFill>
        </w:rPr>
        <w:drawing>
          <wp:inline distT="0" distB="0" distL="0" distR="0">
            <wp:extent cx="5365115" cy="2948305"/>
            <wp:effectExtent l="0" t="0" r="0" b="0"/>
            <wp:docPr id="1902083836"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83836" name="图片 2" descr="图示&#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69385" cy="2951184"/>
                    </a:xfrm>
                    <a:prstGeom prst="rect">
                      <a:avLst/>
                    </a:prstGeom>
                  </pic:spPr>
                </pic:pic>
              </a:graphicData>
            </a:graphic>
          </wp:inline>
        </w:drawing>
      </w:r>
    </w:p>
    <w:p>
      <w:pPr>
        <w:pStyle w:val="28"/>
        <w:jc w:val="both"/>
        <w:rPr>
          <w:rFonts w:eastAsiaTheme="minorEastAsia"/>
          <w:lang w:val="en-US" w:eastAsia="zh-CN"/>
        </w:rPr>
      </w:pPr>
      <w:r>
        <w:rPr>
          <w:rFonts w:hint="eastAsia" w:eastAsiaTheme="minorEastAsia"/>
          <w:lang w:val="en-US" w:eastAsia="zh-CN"/>
        </w:rPr>
        <w:t xml:space="preserve">Scenario 4: UE transfer from Satellite1(gNB1 on board) to Satellite2(gNB2 on board)  through AMF </w:t>
      </w:r>
      <w:r>
        <w:rPr>
          <w:rFonts w:hint="eastAsia" w:eastAsiaTheme="minorEastAsia"/>
          <w:lang w:eastAsia="zh-CN"/>
        </w:rPr>
        <w:t>when it is leaving the AMF serving area, NG Suspend/Resume Procedures</w:t>
      </w:r>
    </w:p>
    <w:p>
      <w:pPr>
        <w:rPr>
          <w:color w:val="000000" w:themeColor="text1"/>
          <w:lang w:val="en-US" w:eastAsia="zh-CN"/>
          <w14:textFill>
            <w14:solidFill>
              <w14:schemeClr w14:val="tx1"/>
            </w14:solidFill>
          </w14:textFill>
        </w:rPr>
      </w:pP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However, some satellite companies think the storage and energy resource is very expensive and limited in satellite, store the so many UE context in satellite for such a long time cost too much. </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Also some other companies think the UE won</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t stay so long under the same coverage area for after the satellite moves back.  It is meaningless to store the UE context in satellite for such a long time.</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So it is better to let the satellite decides whether it shall active the NG Suspend/Resume Procedures for quick recovery according to its own resource status and its moving trajectory.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3</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It is up to satellite (gNB on board) to make decision whether and when to activate NG Suspend/Resume Procedures.</w:t>
      </w:r>
    </w:p>
    <w:p>
      <w:pPr>
        <w:rPr>
          <w:b/>
          <w:bCs/>
          <w:color w:val="000000" w:themeColor="text1"/>
          <w:lang w:eastAsia="zh-CN"/>
          <w14:textFill>
            <w14:solidFill>
              <w14:schemeClr w14:val="tx1"/>
            </w14:solidFill>
          </w14:textFill>
        </w:rPr>
      </w:pPr>
    </w:p>
    <w:p>
      <w:pPr>
        <w:pStyle w:val="5"/>
        <w:rPr>
          <w:rFonts w:eastAsiaTheme="minorEastAsia"/>
          <w:lang w:eastAsia="zh-CN"/>
        </w:rPr>
      </w:pPr>
      <w:r>
        <w:rPr>
          <w:rFonts w:hint="eastAsia" w:eastAsiaTheme="minorEastAsia"/>
          <w:lang w:eastAsia="zh-CN"/>
        </w:rPr>
        <w:t>2.2 NG Pre-Set Up Procedures Enhancement</w:t>
      </w:r>
    </w:p>
    <w:p>
      <w:pPr>
        <w:rPr>
          <w:lang w:eastAsia="zh-CN"/>
        </w:rPr>
      </w:pPr>
      <w:r>
        <w:rPr>
          <w:rFonts w:hint="eastAsia"/>
          <w:lang w:eastAsia="zh-CN"/>
        </w:rPr>
        <w:t>In above procedures, to guarantee the continuity of UE service, the new satellite (gNB on board) needs to set up NG connection with AMF before the previous satellite (gNB on board) is leaving the AMF serving area.</w:t>
      </w:r>
    </w:p>
    <w:p>
      <w:pPr>
        <w:rPr>
          <w:lang w:eastAsia="zh-CN"/>
        </w:rPr>
      </w:pPr>
      <w:r>
        <w:rPr>
          <w:rFonts w:hint="eastAsia"/>
          <w:lang w:eastAsia="zh-CN"/>
        </w:rPr>
        <w:t xml:space="preserve">Usually, if the </w:t>
      </w:r>
      <w:r>
        <w:rPr>
          <w:lang w:eastAsia="zh-CN"/>
        </w:rPr>
        <w:t>ephemeris</w:t>
      </w:r>
      <w:r>
        <w:rPr>
          <w:rFonts w:hint="eastAsia"/>
          <w:lang w:eastAsia="zh-CN"/>
        </w:rPr>
        <w:t xml:space="preserve"> is provisioned, AMF know when to initiate the setup of NG connections with satellites in advance. If not, satellite can be triggered to setup NG with AMF in advance according to time and location condition which is provisioned, before the previous satellite leaves the AMF serving area. </w:t>
      </w:r>
    </w:p>
    <w:p>
      <w:pPr>
        <w:rPr>
          <w:lang w:eastAsia="zh-CN"/>
        </w:rPr>
      </w:pPr>
      <w:r>
        <w:rPr>
          <w:rFonts w:hint="eastAsia"/>
          <w:lang w:eastAsia="zh-CN"/>
        </w:rPr>
        <w:t xml:space="preserve">The procedures for NG pre-setup we proposed can refer to the NTN time or location triggered CHO procedures via Xn. </w:t>
      </w:r>
      <w:r>
        <w:rPr>
          <w:lang w:eastAsia="zh-CN"/>
        </w:rPr>
        <w:t>Time-based or location-based trigger</w:t>
      </w:r>
      <w:r>
        <w:rPr>
          <w:rFonts w:hint="eastAsia"/>
          <w:lang w:eastAsia="zh-CN"/>
        </w:rPr>
        <w:t xml:space="preserve">ment </w:t>
      </w:r>
      <w:r>
        <w:rPr>
          <w:lang w:eastAsia="zh-CN"/>
        </w:rPr>
        <w:t xml:space="preserve">may be configured independently </w:t>
      </w:r>
      <w:r>
        <w:rPr>
          <w:rFonts w:hint="eastAsia"/>
          <w:lang w:eastAsia="zh-CN"/>
        </w:rPr>
        <w:t>for NG pre-setup</w:t>
      </w:r>
      <w:r>
        <w:rPr>
          <w:lang w:eastAsia="zh-CN"/>
        </w:rPr>
        <w:t xml:space="preserve"> in NTN in at least hard satellite switch case where the service discontinuity gap time length is assumed to be zero or negligible.</w:t>
      </w:r>
    </w:p>
    <w:p>
      <w:pPr>
        <w:rPr>
          <w:lang w:eastAsia="zh-CN"/>
        </w:rPr>
      </w:pPr>
      <w:r>
        <w:rPr>
          <w:rFonts w:hint="eastAsia"/>
          <w:lang w:eastAsia="zh-CN"/>
        </w:rPr>
        <w:t xml:space="preserve">Here the satellite (gNB on board) still keeps the NG connections with the previous AMF when it sets up the NG connections with the new AMF. The old NG connections will be released or deleted after UE HO, as procedures proposed in chapter 2.1 and 2.2.  Since at this </w:t>
      </w:r>
      <w:r>
        <w:rPr>
          <w:lang w:eastAsia="zh-CN"/>
        </w:rPr>
        <w:t>moment</w:t>
      </w:r>
      <w:r>
        <w:rPr>
          <w:rFonts w:hint="eastAsia"/>
          <w:lang w:eastAsia="zh-CN"/>
        </w:rPr>
        <w:t>, there is no UE context in the new satellite (gNB on board), so the pre-set up NG interfaces are gNB and AMF pair level.</w:t>
      </w:r>
    </w:p>
    <w:p>
      <w:pPr>
        <w:rPr>
          <w:b/>
          <w:bCs/>
          <w:lang w:eastAsia="zh-CN"/>
        </w:rPr>
      </w:pPr>
      <w:r>
        <w:rPr>
          <w:rFonts w:hint="eastAsia"/>
          <w:b/>
          <w:bCs/>
          <w:lang w:eastAsia="zh-CN"/>
        </w:rPr>
        <w:t>Proposal 4: It is proposed to introduce the time and location-triggered NG pre-setup before the UE HO to the new satellite (gNB on board), to guarantee the UE service continuity.</w:t>
      </w: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w:t>
      </w:r>
      <w:r>
        <w:rPr>
          <w:rFonts w:hint="eastAsia" w:eastAsia="宋体"/>
          <w:lang w:eastAsia="zh-CN"/>
        </w:rPr>
        <w:t>c</w:t>
      </w:r>
      <w:r>
        <w:rPr>
          <w:rFonts w:eastAsia="宋体"/>
          <w:lang w:eastAsia="zh-CN"/>
        </w:rPr>
        <w:t xml:space="preserve">onsiderations on the </w:t>
      </w:r>
      <w:r>
        <w:rPr>
          <w:rFonts w:hint="eastAsia" w:eastAsia="宋体"/>
          <w:lang w:eastAsia="zh-CN"/>
        </w:rPr>
        <w:t>NTN regenerative payload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pPr>
        <w:rPr>
          <w:b/>
          <w:bCs/>
          <w:color w:val="000000" w:themeColor="text1"/>
          <w:lang w:eastAsia="zh-CN"/>
          <w14:textFill>
            <w14:solidFill>
              <w14:schemeClr w14:val="tx1"/>
            </w14:solidFill>
          </w14:textFill>
        </w:rPr>
      </w:pPr>
      <w:r>
        <w:rPr>
          <w:rFonts w:hint="eastAsia"/>
          <w:b/>
          <w:bCs/>
          <w:color w:val="000000" w:themeColor="text1"/>
          <w14:textFill>
            <w14:solidFill>
              <w14:schemeClr w14:val="tx1"/>
            </w14:solidFill>
          </w14:textFill>
        </w:rPr>
        <w:t>P</w:t>
      </w:r>
      <w:r>
        <w:rPr>
          <w:b/>
          <w:bCs/>
          <w:color w:val="000000" w:themeColor="text1"/>
          <w14:textFill>
            <w14:solidFill>
              <w14:schemeClr w14:val="tx1"/>
            </w14:solidFill>
          </w14:textFill>
        </w:rPr>
        <w:t xml:space="preserve">roposal </w:t>
      </w:r>
      <w:r>
        <w:rPr>
          <w:rFonts w:hint="eastAsia"/>
          <w:b/>
          <w:bCs/>
          <w:color w:val="000000" w:themeColor="text1"/>
          <w:lang w:eastAsia="zh-CN"/>
          <w14:textFill>
            <w14:solidFill>
              <w14:schemeClr w14:val="tx1"/>
            </w14:solidFill>
          </w14:textFill>
        </w:rPr>
        <w:t>1</w:t>
      </w:r>
      <w:r>
        <w:rPr>
          <w:b/>
          <w:bCs/>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 xml:space="preserve">It is beneficial to introduce NG Suspend/Resume procedures in some scenarios, to help the NG connection recover quickly. </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2: It is proposed to carry the NG-RAN node ID, UE ID, PDU Session ID in NG Resume message from NG-RAN node to AMF. Using these information, AMF can check with its own UE context information and know which PDU sessions shall be resumed.</w:t>
      </w:r>
    </w:p>
    <w:p>
      <w:pPr>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Proposal 3</w:t>
      </w:r>
      <w:r>
        <w:rPr>
          <w:rFonts w:hint="eastAsia" w:ascii="宋体" w:hAnsi="宋体" w:eastAsia="宋体" w:cs="宋体"/>
          <w:b/>
          <w:bCs/>
          <w:color w:val="000000" w:themeColor="text1"/>
          <w:lang w:eastAsia="zh-CN"/>
          <w14:textFill>
            <w14:solidFill>
              <w14:schemeClr w14:val="tx1"/>
            </w14:solidFill>
          </w14:textFill>
        </w:rPr>
        <w:t>：</w:t>
      </w:r>
      <w:r>
        <w:rPr>
          <w:rFonts w:hint="eastAsia"/>
          <w:b/>
          <w:bCs/>
          <w:color w:val="000000" w:themeColor="text1"/>
          <w:lang w:eastAsia="zh-CN"/>
          <w14:textFill>
            <w14:solidFill>
              <w14:schemeClr w14:val="tx1"/>
            </w14:solidFill>
          </w14:textFill>
        </w:rPr>
        <w:t>It is up to satellite (gNB on board) to make decision whether and when to activate NG Suspend/Resume Procedures.</w:t>
      </w:r>
    </w:p>
    <w:p>
      <w:pPr>
        <w:rPr>
          <w:b/>
          <w:bCs/>
          <w:lang w:eastAsia="zh-CN"/>
        </w:rPr>
      </w:pPr>
      <w:r>
        <w:rPr>
          <w:rFonts w:hint="eastAsia"/>
          <w:b/>
          <w:bCs/>
          <w:lang w:eastAsia="zh-CN"/>
        </w:rPr>
        <w:t>Proposal 4: It is proposed to introduce the time and location-triggered NG pre-setup before the UE HO to the new satellite (gNB on board), to guarantee the UE service continuity.</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59"/>
        <w:ind w:left="566" w:hanging="566" w:hangingChars="283"/>
        <w:jc w:val="both"/>
        <w:rPr>
          <w:lang w:eastAsia="zh-CN"/>
        </w:rPr>
      </w:pPr>
      <w:r>
        <w:rPr>
          <w:rFonts w:hint="eastAsia"/>
          <w:lang w:eastAsia="zh-CN"/>
        </w:rPr>
        <w:t xml:space="preserve">[1] </w:t>
      </w:r>
      <w:r>
        <w:rPr>
          <w:rFonts w:hint="eastAsia"/>
          <w:lang w:eastAsia="zh-CN"/>
        </w:rPr>
        <w:tab/>
      </w:r>
      <w:r>
        <w:rPr>
          <w:lang w:val="en-US" w:eastAsia="zh-CN"/>
        </w:rPr>
        <w:t>RP-240775</w:t>
      </w:r>
      <w:r>
        <w:rPr>
          <w:rFonts w:hint="eastAsia"/>
          <w:lang w:val="en-US" w:eastAsia="zh-CN"/>
        </w:rPr>
        <w:t>, work plan for NTN</w:t>
      </w:r>
      <w:r>
        <w:rPr>
          <w:lang w:eastAsia="zh-CN"/>
        </w:rPr>
        <w:t xml:space="preserve"> </w:t>
      </w:r>
    </w:p>
    <w:p>
      <w:pPr>
        <w:pStyle w:val="59"/>
        <w:ind w:left="566" w:hanging="566" w:hangingChars="283"/>
        <w:jc w:val="both"/>
        <w:rPr>
          <w:lang w:eastAsia="zh-CN"/>
        </w:rPr>
      </w:pPr>
      <w:r>
        <w:rPr>
          <w:rFonts w:hint="eastAsia"/>
          <w:lang w:eastAsia="zh-CN"/>
        </w:rPr>
        <w:t>[2]       TS 38.300, NG-RAN stage2</w:t>
      </w:r>
    </w:p>
    <w:p>
      <w:pPr>
        <w:pStyle w:val="59"/>
        <w:ind w:left="566" w:hanging="566" w:hangingChars="283"/>
        <w:jc w:val="both"/>
        <w:rPr>
          <w:lang w:eastAsia="zh-CN"/>
        </w:rPr>
      </w:pPr>
      <w:r>
        <w:rPr>
          <w:rFonts w:hint="eastAsia"/>
          <w:lang w:eastAsia="zh-CN"/>
        </w:rPr>
        <w:t xml:space="preserve">[3]       TS 38.423, Xn </w:t>
      </w:r>
      <w:r>
        <w:t>application protocol</w:t>
      </w:r>
      <w:r>
        <w:rPr>
          <w:rFonts w:hint="eastAsia"/>
          <w:lang w:eastAsia="zh-CN"/>
        </w:rPr>
        <w:t xml:space="preserve"> (XnAP)</w:t>
      </w:r>
    </w:p>
    <w:p>
      <w:pPr>
        <w:pStyle w:val="59"/>
        <w:ind w:left="566" w:hanging="566" w:hangingChars="283"/>
        <w:jc w:val="both"/>
        <w:rPr>
          <w:lang w:eastAsia="zh-CN"/>
        </w:rPr>
      </w:pPr>
      <w:r>
        <w:rPr>
          <w:rFonts w:hint="eastAsia"/>
          <w:lang w:eastAsia="zh-CN"/>
        </w:rPr>
        <w:t xml:space="preserve">[4]       </w:t>
      </w:r>
      <w:r>
        <w:rPr>
          <w:lang w:eastAsia="zh-CN"/>
        </w:rPr>
        <w:t xml:space="preserve">TS </w:t>
      </w:r>
      <w:r>
        <w:rPr>
          <w:rFonts w:hint="eastAsia"/>
          <w:lang w:eastAsia="zh-CN"/>
        </w:rPr>
        <w:t xml:space="preserve">38.413, NG </w:t>
      </w:r>
      <w:r>
        <w:t>application protocol</w:t>
      </w:r>
      <w:r>
        <w:rPr>
          <w:rFonts w:hint="eastAsia"/>
          <w:lang w:eastAsia="zh-CN"/>
        </w:rPr>
        <w:t xml:space="preserve"> (NGAP)</w:t>
      </w:r>
    </w:p>
    <w:p>
      <w:pPr>
        <w:pStyle w:val="59"/>
        <w:ind w:left="566" w:hanging="566" w:hangingChars="283"/>
        <w:jc w:val="both"/>
        <w:rPr>
          <w:lang w:eastAsia="zh-CN"/>
        </w:rPr>
      </w:pPr>
      <w:r>
        <w:rPr>
          <w:rFonts w:hint="eastAsia"/>
          <w:lang w:eastAsia="zh-CN"/>
        </w:rPr>
        <w:t xml:space="preserve">[5]       TR 38.821, </w:t>
      </w:r>
      <w:r>
        <w:t>Solutions for NR to support</w:t>
      </w:r>
      <w:r>
        <w:rPr>
          <w:rFonts w:hint="eastAsia"/>
          <w:lang w:eastAsia="zh-CN"/>
        </w:rPr>
        <w:t xml:space="preserve"> NTN</w:t>
      </w:r>
    </w:p>
    <w:p>
      <w:pPr>
        <w:pStyle w:val="59"/>
        <w:ind w:left="566" w:hanging="566" w:hangingChars="283"/>
        <w:jc w:val="both"/>
        <w:rPr>
          <w:rFonts w:hint="eastAsia"/>
          <w:lang w:eastAsia="zh-CN"/>
        </w:rPr>
      </w:pPr>
      <w:r>
        <w:rPr>
          <w:rFonts w:hint="eastAsia"/>
          <w:lang w:eastAsia="zh-CN"/>
        </w:rPr>
        <w:t xml:space="preserve">[6]       </w:t>
      </w:r>
      <w:r>
        <w:rPr>
          <w:lang w:eastAsia="zh-CN"/>
        </w:rPr>
        <w:t>RAN3_125bis_agenda_20241018_1430_EOM</w:t>
      </w:r>
      <w:r>
        <w:rPr>
          <w:rFonts w:hint="eastAsia"/>
          <w:lang w:eastAsia="zh-CN"/>
        </w:rPr>
        <w:t>, chairlady</w:t>
      </w:r>
      <w:r>
        <w:rPr>
          <w:lang w:eastAsia="zh-CN"/>
        </w:rPr>
        <w:t>’</w:t>
      </w:r>
      <w:r>
        <w:rPr>
          <w:rFonts w:hint="eastAsia"/>
          <w:lang w:eastAsia="zh-CN"/>
        </w:rPr>
        <w:t>s note</w:t>
      </w:r>
    </w:p>
    <w:bookmarkEnd w:id="0"/>
    <w:p>
      <w:pPr>
        <w:rPr>
          <w:rFonts w:eastAsia="宋体"/>
          <w:lang w:eastAsia="zh-CN"/>
        </w:rPr>
      </w:pPr>
    </w:p>
    <w:sectPr>
      <w:footerReference r:id="rId4"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5F1"/>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DD4"/>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284E"/>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09B"/>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67"/>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205"/>
    <w:rsid w:val="00321340"/>
    <w:rsid w:val="0032143F"/>
    <w:rsid w:val="00321633"/>
    <w:rsid w:val="00322044"/>
    <w:rsid w:val="00322520"/>
    <w:rsid w:val="00322BF9"/>
    <w:rsid w:val="00322D52"/>
    <w:rsid w:val="00323818"/>
    <w:rsid w:val="00324037"/>
    <w:rsid w:val="0032432B"/>
    <w:rsid w:val="00324A77"/>
    <w:rsid w:val="00324AEB"/>
    <w:rsid w:val="00324E7A"/>
    <w:rsid w:val="00324F36"/>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139"/>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2AD"/>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575"/>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1F94"/>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0C6E"/>
    <w:rsid w:val="0043170D"/>
    <w:rsid w:val="004318CA"/>
    <w:rsid w:val="00432373"/>
    <w:rsid w:val="00432854"/>
    <w:rsid w:val="0043296B"/>
    <w:rsid w:val="00432ACC"/>
    <w:rsid w:val="00432C15"/>
    <w:rsid w:val="00432D05"/>
    <w:rsid w:val="00433E63"/>
    <w:rsid w:val="00433EC5"/>
    <w:rsid w:val="00433F8F"/>
    <w:rsid w:val="0043419F"/>
    <w:rsid w:val="004341E1"/>
    <w:rsid w:val="00434510"/>
    <w:rsid w:val="004349F9"/>
    <w:rsid w:val="00434A03"/>
    <w:rsid w:val="00434BE2"/>
    <w:rsid w:val="00434D32"/>
    <w:rsid w:val="004356BA"/>
    <w:rsid w:val="00435C19"/>
    <w:rsid w:val="00435C42"/>
    <w:rsid w:val="004360E5"/>
    <w:rsid w:val="0043627A"/>
    <w:rsid w:val="004362B9"/>
    <w:rsid w:val="00436720"/>
    <w:rsid w:val="00437000"/>
    <w:rsid w:val="004371B9"/>
    <w:rsid w:val="004372B4"/>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38E"/>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95A"/>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5E4"/>
    <w:rsid w:val="004C7705"/>
    <w:rsid w:val="004D03A0"/>
    <w:rsid w:val="004D0597"/>
    <w:rsid w:val="004D0A43"/>
    <w:rsid w:val="004D0C8A"/>
    <w:rsid w:val="004D0FC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3A9"/>
    <w:rsid w:val="004E2C9A"/>
    <w:rsid w:val="004E2D3B"/>
    <w:rsid w:val="004E3B61"/>
    <w:rsid w:val="004E4091"/>
    <w:rsid w:val="004E49C7"/>
    <w:rsid w:val="004E4A6D"/>
    <w:rsid w:val="004E4CF0"/>
    <w:rsid w:val="004E4E0D"/>
    <w:rsid w:val="004E4F86"/>
    <w:rsid w:val="004E50D9"/>
    <w:rsid w:val="004E5975"/>
    <w:rsid w:val="004E5E9B"/>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09D"/>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1AA"/>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280"/>
    <w:rsid w:val="005E33AB"/>
    <w:rsid w:val="005E40E3"/>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342"/>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D33"/>
    <w:rsid w:val="00633E07"/>
    <w:rsid w:val="00634784"/>
    <w:rsid w:val="00634C52"/>
    <w:rsid w:val="00634C72"/>
    <w:rsid w:val="006355D2"/>
    <w:rsid w:val="0063592E"/>
    <w:rsid w:val="006359E7"/>
    <w:rsid w:val="00635D14"/>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87B6B"/>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5E5"/>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099"/>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4A2"/>
    <w:rsid w:val="006E6A0E"/>
    <w:rsid w:val="006E6B0C"/>
    <w:rsid w:val="006E7628"/>
    <w:rsid w:val="006E7BD3"/>
    <w:rsid w:val="006E7D6B"/>
    <w:rsid w:val="006F0B26"/>
    <w:rsid w:val="006F12E4"/>
    <w:rsid w:val="006F1456"/>
    <w:rsid w:val="006F1D76"/>
    <w:rsid w:val="006F20D7"/>
    <w:rsid w:val="006F2494"/>
    <w:rsid w:val="006F2629"/>
    <w:rsid w:val="006F2E59"/>
    <w:rsid w:val="006F361E"/>
    <w:rsid w:val="006F38D5"/>
    <w:rsid w:val="006F3DA8"/>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90"/>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07D"/>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C83"/>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302"/>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120"/>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98"/>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1E9"/>
    <w:rsid w:val="007D46ED"/>
    <w:rsid w:val="007D4827"/>
    <w:rsid w:val="007D54F5"/>
    <w:rsid w:val="007D5F33"/>
    <w:rsid w:val="007D60EF"/>
    <w:rsid w:val="007D68C9"/>
    <w:rsid w:val="007D6BB2"/>
    <w:rsid w:val="007D6E50"/>
    <w:rsid w:val="007D7072"/>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7E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0CC5"/>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427D"/>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438"/>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4E1D"/>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D98"/>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A03"/>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188"/>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ABC"/>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2F31"/>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890"/>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2F7B"/>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78"/>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5A6"/>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023"/>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16"/>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47"/>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AFC"/>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9F8"/>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12"/>
    <w:rsid w:val="00CB362B"/>
    <w:rsid w:val="00CB3656"/>
    <w:rsid w:val="00CB3714"/>
    <w:rsid w:val="00CB3B7A"/>
    <w:rsid w:val="00CB4377"/>
    <w:rsid w:val="00CB44D2"/>
    <w:rsid w:val="00CB4DE2"/>
    <w:rsid w:val="00CB5967"/>
    <w:rsid w:val="00CB6437"/>
    <w:rsid w:val="00CB6566"/>
    <w:rsid w:val="00CB6D7E"/>
    <w:rsid w:val="00CB700C"/>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49A7"/>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88D"/>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2C96"/>
    <w:rsid w:val="00D8386C"/>
    <w:rsid w:val="00D83A56"/>
    <w:rsid w:val="00D84437"/>
    <w:rsid w:val="00D84588"/>
    <w:rsid w:val="00D845D9"/>
    <w:rsid w:val="00D846B9"/>
    <w:rsid w:val="00D8495E"/>
    <w:rsid w:val="00D850E5"/>
    <w:rsid w:val="00D85383"/>
    <w:rsid w:val="00D85726"/>
    <w:rsid w:val="00D859D3"/>
    <w:rsid w:val="00D85B7E"/>
    <w:rsid w:val="00D87748"/>
    <w:rsid w:val="00D9074A"/>
    <w:rsid w:val="00D90768"/>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83F"/>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853"/>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BC2"/>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291"/>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62A3"/>
    <w:rsid w:val="00E16BCC"/>
    <w:rsid w:val="00E16CCF"/>
    <w:rsid w:val="00E16F03"/>
    <w:rsid w:val="00E16F1D"/>
    <w:rsid w:val="00E17ECB"/>
    <w:rsid w:val="00E2033C"/>
    <w:rsid w:val="00E20355"/>
    <w:rsid w:val="00E2078B"/>
    <w:rsid w:val="00E20A5D"/>
    <w:rsid w:val="00E214EB"/>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BA7"/>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80A"/>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649"/>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5E22"/>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969"/>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993"/>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4B"/>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701"/>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59E"/>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0901FC"/>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line number"/>
    <w:basedOn w:val="43"/>
    <w:uiPriority w:val="0"/>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uiPriority w:val="0"/>
    <w:rPr>
      <w:rFonts w:eastAsia="Times New Roman"/>
      <w:lang w:eastAsia="en-US"/>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qFormat/>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uiPriority w:val="0"/>
    <w:rPr>
      <w:rFonts w:ascii="Courier New" w:hAnsi="Courier New" w:eastAsia="Times New Roman"/>
      <w:sz w:val="16"/>
      <w:lang w:eastAsia="en-US"/>
    </w:rPr>
  </w:style>
  <w:style w:type="character" w:customStyle="1" w:styleId="99">
    <w:name w:val="批注框文本 字符"/>
    <w:link w:val="30"/>
    <w:uiPriority w:val="0"/>
    <w:rPr>
      <w:rFonts w:ascii="Segoe UI" w:hAnsi="Segoe UI" w:eastAsia="Times New Roman" w:cs="Segoe UI"/>
      <w:sz w:val="18"/>
      <w:szCs w:val="18"/>
      <w:lang w:eastAsia="en-US"/>
    </w:rPr>
  </w:style>
  <w:style w:type="paragraph" w:customStyle="1" w:styleId="100">
    <w:name w:val="MTDisplayEquation"/>
    <w:basedOn w:val="1"/>
    <w:uiPriority w:val="0"/>
    <w:pPr>
      <w:tabs>
        <w:tab w:val="center" w:pos="4820"/>
        <w:tab w:val="right" w:pos="9640"/>
      </w:tabs>
    </w:pPr>
    <w:rPr>
      <w:lang w:val="en-US"/>
    </w:rPr>
  </w:style>
  <w:style w:type="paragraph" w:customStyle="1" w:styleId="101">
    <w:name w:val="Guidance"/>
    <w:basedOn w:val="1"/>
    <w:uiPriority w:val="0"/>
    <w:rPr>
      <w:i/>
      <w:color w:val="0000FF"/>
    </w:rPr>
  </w:style>
  <w:style w:type="paragraph" w:customStyle="1" w:styleId="102">
    <w:name w:val="memo header"/>
    <w:basedOn w:val="1"/>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uiPriority w:val="0"/>
    <w:rPr>
      <w:rFonts w:ascii="Arial" w:hAnsi="Arial" w:eastAsia="宋体"/>
      <w:sz w:val="24"/>
      <w:lang w:val="en-US" w:eastAsia="zh-CN" w:bidi="ar-SA"/>
    </w:rPr>
  </w:style>
  <w:style w:type="paragraph" w:customStyle="1" w:styleId="106">
    <w:name w:val="标题4"/>
    <w:basedOn w:val="1"/>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uiPriority w:val="0"/>
    <w:pPr>
      <w:outlineLvl w:val="9"/>
    </w:pPr>
  </w:style>
  <w:style w:type="paragraph" w:customStyle="1" w:styleId="112">
    <w:name w:val="样式1"/>
    <w:basedOn w:val="1"/>
    <w:qFormat/>
    <w:uiPriority w:val="0"/>
  </w:style>
  <w:style w:type="character" w:customStyle="1" w:styleId="113">
    <w:name w:val="标题 2 字符"/>
    <w:link w:val="3"/>
    <w:uiPriority w:val="0"/>
    <w:rPr>
      <w:rFonts w:ascii="Arial" w:hAnsi="Arial" w:eastAsia="Times New Roman"/>
      <w:sz w:val="32"/>
      <w:lang w:eastAsia="en-US"/>
    </w:rPr>
  </w:style>
  <w:style w:type="character" w:customStyle="1" w:styleId="114">
    <w:name w:val="Unresolved Mention1"/>
    <w:semiHidden/>
    <w:unhideWhenUsed/>
    <w:uiPriority w:val="99"/>
    <w:rPr>
      <w:color w:val="605E5C"/>
      <w:shd w:val="clear" w:color="auto" w:fill="E1DFDD"/>
    </w:rPr>
  </w:style>
  <w:style w:type="character" w:customStyle="1" w:styleId="115">
    <w:name w:val="yinbiao"/>
    <w:basedOn w:val="43"/>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uiPriority w:val="0"/>
    <w:rPr>
      <w:rFonts w:eastAsia="宋体"/>
      <w:lang w:val="en-GB" w:eastAsia="en-US" w:bidi="ar-SA"/>
    </w:rPr>
  </w:style>
  <w:style w:type="paragraph" w:styleId="122">
    <w:name w:val="List Paragraph"/>
    <w:basedOn w:val="1"/>
    <w:link w:val="136"/>
    <w:qFormat/>
    <w:uiPriority w:val="34"/>
    <w:pPr>
      <w:ind w:firstLine="420" w:firstLineChars="200"/>
    </w:pPr>
  </w:style>
  <w:style w:type="paragraph" w:customStyle="1" w:styleId="123">
    <w:name w:val="Revision"/>
    <w:hidden/>
    <w:semiHidden/>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34"/>
    <w:rPr>
      <w:rFonts w:eastAsia="Times New Roman"/>
      <w:lang w:val="en-GB"/>
    </w:rPr>
  </w:style>
  <w:style w:type="character" w:customStyle="1" w:styleId="137">
    <w:name w:val="页眉 字符"/>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uiPriority w:val="0"/>
  </w:style>
  <w:style w:type="character" w:customStyle="1" w:styleId="144">
    <w:name w:val="normaltextrun"/>
    <w:basedOn w:val="43"/>
    <w:qFormat/>
    <w:uiPriority w:val="0"/>
  </w:style>
  <w:style w:type="paragraph" w:customStyle="1" w:styleId="145">
    <w:name w:val="paragraph"/>
    <w:basedOn w:val="1"/>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character" w:customStyle="1" w:styleId="150">
    <w:name w:val="B1 Zchn"/>
    <w:qFormat/>
    <w:uiPriority w:val="0"/>
    <w:rPr>
      <w:rFonts w:eastAsia="Times New Roman"/>
    </w:rPr>
  </w:style>
  <w:style w:type="character" w:customStyle="1" w:styleId="151">
    <w:name w:val="NO Char1"/>
    <w:qFormat/>
    <w:uiPriority w:val="0"/>
    <w:rPr>
      <w:lang w:val="en-GB" w:eastAsia="en-US"/>
    </w:rPr>
  </w:style>
  <w:style w:type="paragraph" w:customStyle="1" w:styleId="152">
    <w:name w:val="List Paragraph1"/>
    <w:basedOn w:val="1"/>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77B06-C572-41EF-A7C7-E4B439AF0D01}">
  <ds:schemaRefs/>
</ds:datastoreItem>
</file>

<file path=customXml/itemProps2.xml><?xml version="1.0" encoding="utf-8"?>
<ds:datastoreItem xmlns:ds="http://schemas.openxmlformats.org/officeDocument/2006/customXml" ds:itemID="{203EDD3C-8E31-4422-A497-4792D68E8818}">
  <ds:schemaRefs/>
</ds:datastoreItem>
</file>

<file path=customXml/itemProps3.xml><?xml version="1.0" encoding="utf-8"?>
<ds:datastoreItem xmlns:ds="http://schemas.openxmlformats.org/officeDocument/2006/customXml" ds:itemID="{4EAFB26B-56E4-417C-B3BC-8BDD1114E406}">
  <ds:schemaRefs/>
</ds:datastoreItem>
</file>

<file path=customXml/itemProps4.xml><?xml version="1.0" encoding="utf-8"?>
<ds:datastoreItem xmlns:ds="http://schemas.openxmlformats.org/officeDocument/2006/customXml" ds:itemID="{839563F6-7D0D-4C00-B030-31DFEF3AC2C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1162</Words>
  <Characters>6625</Characters>
  <Lines>55</Lines>
  <Paragraphs>15</Paragraphs>
  <TotalTime>21</TotalTime>
  <ScaleCrop>false</ScaleCrop>
  <LinksUpToDate>false</LinksUpToDate>
  <CharactersWithSpaces>7772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2024-11-04T19:00:00Z</dcterms:created>
  <dc:creator>Reem Karaki</dc:creator>
  <cp:lastModifiedBy>cmcc</cp:lastModifiedBy>
  <cp:lastPrinted>2009-04-24T04:01:00Z</cp:lastPrinted>
  <dcterms:modified xsi:type="dcterms:W3CDTF">2024-11-08T06:15:27Z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B7B46D2A70AB455F9C157891748FB60C</vt:lpwstr>
  </property>
</Properties>
</file>